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E047D2" w14:textId="4D417263" w:rsidR="00857962" w:rsidRPr="00460028" w:rsidRDefault="009B28ED" w:rsidP="00857962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3E5FF5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406388B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4831DF2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9BA3FF"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Saint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Germain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Laye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, France</w:t>
                            </w:r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-mail</w:t>
                            </w:r>
                            <w:proofErr w:type="gramEnd"/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hyperlink r:id="rId9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09E4E1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Saint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Germain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en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Laye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-mail</w:t>
                      </w:r>
                      <w:proofErr w:type="gramEnd"/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hyperlink r:id="rId11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0743F3CE" w:rsidR="00460028" w:rsidRPr="00D54204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D54204" w:rsidRPr="00D5420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14</w:t>
                            </w:r>
                          </w:p>
                          <w:p w14:paraId="15466D05" w14:textId="77777777" w:rsidR="00460028" w:rsidRPr="00D54204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14:paraId="12A09890" w14:textId="1EB57417" w:rsidR="00460028" w:rsidRPr="00D54204" w:rsidRDefault="005D08CF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5420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D54204" w:rsidRPr="00D54204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Runtime Configuration Management of a service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F59D2A"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0743F3CE" w:rsidR="00460028" w:rsidRPr="00D54204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D54204" w:rsidRPr="00D5420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14</w:t>
                      </w:r>
                    </w:p>
                    <w:p w14:paraId="15466D05" w14:textId="77777777" w:rsidR="00460028" w:rsidRPr="00D54204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14:paraId="12A09890" w14:textId="1EB57417" w:rsidR="00460028" w:rsidRPr="00D54204" w:rsidRDefault="005D08CF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D5420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D54204" w:rsidRPr="00D54204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Runtime Configuration Management of a service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BodyText"/>
            </w:pPr>
          </w:p>
        </w:tc>
      </w:tr>
    </w:tbl>
    <w:p w14:paraId="4CD45056" w14:textId="2009E308"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3EB6BE3E" w14:textId="25892E0A" w:rsidR="009E1230" w:rsidRDefault="005D08CF" w:rsidP="00CC0BF3">
      <w:pPr>
        <w:pStyle w:val="BlockText"/>
      </w:pPr>
      <w:r w:rsidRPr="00F71E69">
        <w:t xml:space="preserve">Appendix </w:t>
      </w:r>
      <w:r w:rsidR="00D54204" w:rsidRPr="00F71E69">
        <w:t>14</w:t>
      </w:r>
      <w:r w:rsidRPr="00F71E69">
        <w:t xml:space="preserve"> </w:t>
      </w:r>
      <w:r w:rsidR="00D54204" w:rsidRPr="00F71E69">
        <w:t>–</w:t>
      </w:r>
      <w:r w:rsidRPr="00F71E69">
        <w:t xml:space="preserve"> </w:t>
      </w:r>
      <w:r w:rsidR="00D54204" w:rsidRPr="00F71E69">
        <w:t>Runtime</w:t>
      </w:r>
      <w:r w:rsidR="00D54204">
        <w:t xml:space="preserve"> Configuration Management of a service</w:t>
      </w:r>
    </w:p>
    <w:p w14:paraId="212BB9F2" w14:textId="77777777" w:rsidR="00CC0BF3" w:rsidRPr="00460028" w:rsidRDefault="00CC0BF3"/>
    <w:p w14:paraId="4B8EC591" w14:textId="16166EC4" w:rsidR="00460028" w:rsidRDefault="00460028" w:rsidP="00E22226">
      <w:pPr>
        <w:pStyle w:val="Title"/>
      </w:pPr>
      <w:r>
        <w:t>Table of Contents</w:t>
      </w:r>
    </w:p>
    <w:p w14:paraId="1AB80728" w14:textId="4B841E04" w:rsidR="00CC0BF3" w:rsidRDefault="00CC0BF3" w:rsidP="00CC0BF3">
      <w:pPr>
        <w:pStyle w:val="Title"/>
        <w:jc w:val="left"/>
      </w:pPr>
      <w:r>
        <w:t>Introduction</w:t>
      </w:r>
    </w:p>
    <w:p w14:paraId="3966E365" w14:textId="77777777" w:rsidR="005A4F85" w:rsidRDefault="005A4F85" w:rsidP="005A4F85">
      <w:pPr>
        <w:pStyle w:val="BodyText"/>
      </w:pPr>
    </w:p>
    <w:p w14:paraId="1D001004" w14:textId="77777777" w:rsidR="00E22226" w:rsidRDefault="00E22226" w:rsidP="00E22226">
      <w:pPr>
        <w:pStyle w:val="Title"/>
      </w:pPr>
      <w:r>
        <w:t>Index of Tables</w:t>
      </w:r>
    </w:p>
    <w:p w14:paraId="2A1B1D45" w14:textId="77777777" w:rsidR="00E22226" w:rsidRPr="00D54204" w:rsidRDefault="00F46430" w:rsidP="00E22226">
      <w:pPr>
        <w:pStyle w:val="BodyText"/>
        <w:rPr>
          <w:lang w:val="de-DE"/>
        </w:rPr>
      </w:pPr>
      <w:r>
        <w:fldChar w:fldCharType="begin"/>
      </w:r>
      <w:r w:rsidR="00E22226" w:rsidRPr="00D54204">
        <w:rPr>
          <w:lang w:val="de-DE"/>
        </w:rPr>
        <w:instrText xml:space="preserve"> TOC \h \z \t "Table_#" \c </w:instrText>
      </w:r>
      <w:r>
        <w:fldChar w:fldCharType="separate"/>
      </w:r>
      <w:r w:rsidR="00D54204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D54204" w:rsidRDefault="002D4569" w:rsidP="002D4569">
      <w:pPr>
        <w:pStyle w:val="BodyText"/>
        <w:rPr>
          <w:lang w:val="de-DE"/>
        </w:rPr>
      </w:pPr>
    </w:p>
    <w:p w14:paraId="1A3B0D49" w14:textId="77777777" w:rsidR="002D4569" w:rsidRPr="00D54204" w:rsidRDefault="002D4569" w:rsidP="00D30727">
      <w:pPr>
        <w:pStyle w:val="Title"/>
        <w:rPr>
          <w:lang w:val="de-DE"/>
        </w:rPr>
      </w:pPr>
      <w:r w:rsidRPr="00D54204">
        <w:rPr>
          <w:lang w:val="de-DE"/>
        </w:rPr>
        <w:t>Index of Figures</w:t>
      </w:r>
    </w:p>
    <w:p w14:paraId="587E797B" w14:textId="77777777" w:rsidR="002D4569" w:rsidRPr="00D54204" w:rsidRDefault="00F46430" w:rsidP="002D4569">
      <w:pPr>
        <w:pStyle w:val="BodyText"/>
        <w:rPr>
          <w:lang w:val="de-DE"/>
        </w:rPr>
      </w:pPr>
      <w:r>
        <w:fldChar w:fldCharType="begin"/>
      </w:r>
      <w:r w:rsidR="002D4569" w:rsidRPr="00D54204">
        <w:rPr>
          <w:lang w:val="de-DE"/>
        </w:rPr>
        <w:instrText xml:space="preserve"> TOC \h \z \t "Figure_#" \c </w:instrText>
      </w:r>
      <w:r>
        <w:fldChar w:fldCharType="separate"/>
      </w:r>
      <w:r w:rsidR="00D54204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60EAB1F3" w:rsidR="00985597" w:rsidRDefault="00460028" w:rsidP="00D30727">
      <w:pPr>
        <w:pStyle w:val="Title"/>
      </w:pPr>
      <w:r w:rsidRPr="00D54204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D54204">
        <w:t>14</w:t>
      </w:r>
      <w:r w:rsidR="005D08CF">
        <w:t xml:space="preserve"> - </w:t>
      </w:r>
    </w:p>
    <w:p w14:paraId="3D73BC78" w14:textId="39542E50" w:rsidR="009E1230" w:rsidRDefault="00D54204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Runtime Configuration Management of a service</w:t>
      </w:r>
    </w:p>
    <w:p w14:paraId="3848A364" w14:textId="77777777" w:rsidR="00D54204" w:rsidRDefault="00D54204" w:rsidP="00D54204">
      <w:pPr>
        <w:pStyle w:val="Heading1"/>
        <w:numPr>
          <w:ilvl w:val="0"/>
          <w:numId w:val="1"/>
        </w:numPr>
      </w:pPr>
      <w:bookmarkStart w:id="1" w:name="_Toc216489705"/>
      <w:r w:rsidRPr="009D52FE">
        <w:t>Introduction</w:t>
      </w:r>
      <w:bookmarkEnd w:id="1"/>
    </w:p>
    <w:p w14:paraId="55B10706" w14:textId="77777777" w:rsidR="00D54204" w:rsidRPr="009D52FE" w:rsidRDefault="00D54204" w:rsidP="00D54204">
      <w:pPr>
        <w:pStyle w:val="BodyTex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036746E7" w14:textId="77777777" w:rsidR="00D54204" w:rsidRDefault="00D54204" w:rsidP="00D54204">
      <w:pPr>
        <w:pStyle w:val="BodyText"/>
        <w:rPr>
          <w:lang w:eastAsia="de-DE"/>
        </w:rPr>
      </w:pPr>
      <w:r w:rsidRPr="009D52FE">
        <w:rPr>
          <w:highlight w:val="yellow"/>
          <w:lang w:eastAsia="de-DE"/>
        </w:rPr>
        <w:t xml:space="preserve">--- </w:t>
      </w:r>
      <w:proofErr w:type="gramStart"/>
      <w:r w:rsidRPr="009D52FE">
        <w:rPr>
          <w:highlight w:val="yellow"/>
          <w:lang w:eastAsia="de-DE"/>
        </w:rPr>
        <w:t>for</w:t>
      </w:r>
      <w:proofErr w:type="gramEnd"/>
      <w:r w:rsidRPr="009D52FE">
        <w:rPr>
          <w:highlight w:val="yellow"/>
          <w:lang w:eastAsia="de-DE"/>
        </w:rPr>
        <w:t xml:space="preserve"> a brief content description compare appropriate section in Main part of the Recommendation</w:t>
      </w:r>
    </w:p>
    <w:p w14:paraId="6A707C4B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 xml:space="preserve">Background </w:t>
      </w:r>
    </w:p>
    <w:p w14:paraId="785D2914" w14:textId="77777777" w:rsidR="00E761EA" w:rsidRDefault="00E761EA" w:rsidP="00E761EA">
      <w:pPr>
        <w:pStyle w:val="BodyText"/>
        <w:rPr>
          <w:lang w:eastAsia="de-DE"/>
        </w:rPr>
      </w:pPr>
    </w:p>
    <w:p w14:paraId="28FDCA52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 xml:space="preserve">Stakeholders </w:t>
      </w:r>
    </w:p>
    <w:p w14:paraId="2B476E8D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System users</w:t>
      </w:r>
    </w:p>
    <w:p w14:paraId="6E68EAFD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 xml:space="preserve">System technicians </w:t>
      </w:r>
    </w:p>
    <w:p w14:paraId="4A0BEEF6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General management</w:t>
      </w:r>
    </w:p>
    <w:p w14:paraId="46DB215E" w14:textId="77777777" w:rsidR="00E761EA" w:rsidRDefault="00E761EA" w:rsidP="00E761EA">
      <w:pPr>
        <w:pStyle w:val="BodyText"/>
        <w:rPr>
          <w:lang w:eastAsia="de-DE"/>
        </w:rPr>
      </w:pPr>
    </w:p>
    <w:p w14:paraId="5F9BF05C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Benefits for participating stakeholders</w:t>
      </w:r>
    </w:p>
    <w:p w14:paraId="7C60D1C2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Protection from unauthorized access</w:t>
      </w:r>
    </w:p>
    <w:p w14:paraId="295C059A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Up-to-date documenting and traceability of changes</w:t>
      </w:r>
    </w:p>
    <w:p w14:paraId="4A4F9DD1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Prioritization of tasks for technical stuff</w:t>
      </w:r>
    </w:p>
    <w:p w14:paraId="6B662F98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Possibility to roll back to previous system state</w:t>
      </w:r>
    </w:p>
    <w:p w14:paraId="4A3CBDCC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•</w:t>
      </w:r>
      <w:r>
        <w:rPr>
          <w:lang w:eastAsia="de-DE"/>
        </w:rPr>
        <w:tab/>
        <w:t>Clear understanding of system state (maintenance plan)</w:t>
      </w:r>
    </w:p>
    <w:p w14:paraId="174A2463" w14:textId="77777777" w:rsidR="00E761EA" w:rsidRDefault="00E761EA" w:rsidP="00E761EA">
      <w:pPr>
        <w:pStyle w:val="BodyText"/>
        <w:rPr>
          <w:lang w:eastAsia="de-DE"/>
        </w:rPr>
      </w:pPr>
    </w:p>
    <w:p w14:paraId="1262A550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Roles based on functions allowed to particular stakeholder</w:t>
      </w:r>
    </w:p>
    <w:p w14:paraId="6D6C9C24" w14:textId="77777777" w:rsidR="00E761EA" w:rsidRDefault="00E761EA" w:rsidP="00E761EA">
      <w:pPr>
        <w:pStyle w:val="BodyText"/>
        <w:rPr>
          <w:lang w:eastAsia="de-DE"/>
        </w:rPr>
      </w:pPr>
    </w:p>
    <w:p w14:paraId="7AAF061D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Process description</w:t>
      </w:r>
    </w:p>
    <w:p w14:paraId="278A7C40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1.</w:t>
      </w:r>
      <w:r>
        <w:rPr>
          <w:lang w:eastAsia="de-DE"/>
        </w:rPr>
        <w:tab/>
        <w:t>Initiating, analysing, discussion</w:t>
      </w:r>
    </w:p>
    <w:p w14:paraId="06CD6484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2.</w:t>
      </w:r>
      <w:r>
        <w:rPr>
          <w:lang w:eastAsia="de-DE"/>
        </w:rPr>
        <w:tab/>
        <w:t>Preparing of action plan (including necessary approvals)</w:t>
      </w:r>
    </w:p>
    <w:p w14:paraId="1095D773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3.</w:t>
      </w:r>
      <w:r>
        <w:rPr>
          <w:lang w:eastAsia="de-DE"/>
        </w:rPr>
        <w:tab/>
        <w:t xml:space="preserve"> Acting</w:t>
      </w:r>
    </w:p>
    <w:p w14:paraId="5F7712CB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4.</w:t>
      </w:r>
      <w:r>
        <w:rPr>
          <w:lang w:eastAsia="de-DE"/>
        </w:rPr>
        <w:tab/>
        <w:t>Checking results (including feedback)</w:t>
      </w:r>
    </w:p>
    <w:p w14:paraId="7618E28A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5.</w:t>
      </w:r>
      <w:r>
        <w:rPr>
          <w:lang w:eastAsia="de-DE"/>
        </w:rPr>
        <w:tab/>
        <w:t>Documenting</w:t>
      </w:r>
    </w:p>
    <w:p w14:paraId="33B7BE72" w14:textId="77777777" w:rsidR="00E761EA" w:rsidRDefault="00E761EA" w:rsidP="00E761EA">
      <w:pPr>
        <w:pStyle w:val="BodyText"/>
        <w:rPr>
          <w:lang w:eastAsia="de-DE"/>
        </w:rPr>
      </w:pPr>
    </w:p>
    <w:p w14:paraId="2B11EE10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Requirements for the service</w:t>
      </w:r>
    </w:p>
    <w:p w14:paraId="69E69CB3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1.</w:t>
      </w:r>
      <w:r>
        <w:rPr>
          <w:lang w:eastAsia="de-DE"/>
        </w:rPr>
        <w:tab/>
        <w:t>User access control management</w:t>
      </w:r>
    </w:p>
    <w:p w14:paraId="4F166468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2.</w:t>
      </w:r>
      <w:r>
        <w:rPr>
          <w:lang w:eastAsia="de-DE"/>
        </w:rPr>
        <w:tab/>
        <w:t xml:space="preserve">Tracing of all changing and have a possibility to roll back </w:t>
      </w:r>
    </w:p>
    <w:p w14:paraId="2916BA68" w14:textId="77777777" w:rsidR="00E761EA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3.</w:t>
      </w:r>
      <w:r>
        <w:rPr>
          <w:lang w:eastAsia="de-DE"/>
        </w:rPr>
        <w:tab/>
        <w:t>Default configuration available for easy restore</w:t>
      </w:r>
    </w:p>
    <w:p w14:paraId="04421C7C" w14:textId="67F9EC57" w:rsidR="00E761EA" w:rsidRPr="009D52FE" w:rsidRDefault="00E761EA" w:rsidP="00E761EA">
      <w:pPr>
        <w:pStyle w:val="BodyText"/>
        <w:rPr>
          <w:lang w:eastAsia="de-DE"/>
        </w:rPr>
      </w:pPr>
      <w:r>
        <w:rPr>
          <w:lang w:eastAsia="de-DE"/>
        </w:rPr>
        <w:t>4.</w:t>
      </w:r>
      <w:r>
        <w:rPr>
          <w:lang w:eastAsia="de-DE"/>
        </w:rPr>
        <w:tab/>
        <w:t>Validation of the configuration for possible mistakes</w:t>
      </w:r>
    </w:p>
    <w:p w14:paraId="573F3145" w14:textId="77777777" w:rsidR="00E006FD" w:rsidRDefault="00E006FD" w:rsidP="00E006FD">
      <w:pPr>
        <w:pStyle w:val="BodyText"/>
      </w:pPr>
      <w:r w:rsidRPr="00F21FCE">
        <w:rPr>
          <w:highlight w:val="yellow"/>
        </w:rPr>
        <w:t>SAME INFORMATION IS LOCATED IN A-124 annexes 9-11 and could be reused</w:t>
      </w:r>
    </w:p>
    <w:p w14:paraId="28900626" w14:textId="77777777" w:rsidR="00D54204" w:rsidRPr="00985597" w:rsidRDefault="00D54204" w:rsidP="00985597">
      <w:pPr>
        <w:pStyle w:val="BodyText"/>
        <w:jc w:val="center"/>
        <w:rPr>
          <w:b/>
          <w:sz w:val="32"/>
          <w:szCs w:val="32"/>
        </w:rPr>
      </w:pPr>
    </w:p>
    <w:sectPr w:rsidR="00D54204" w:rsidRPr="00985597" w:rsidSect="00AB2FA0">
      <w:headerReference w:type="default" r:id="rId14"/>
      <w:footerReference w:type="default" r:id="rId15"/>
      <w:headerReference w:type="first" r:id="rId16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8DF9D" w14:textId="77777777" w:rsidR="0014456F" w:rsidRDefault="0014456F" w:rsidP="009E1230">
      <w:r>
        <w:separator/>
      </w:r>
    </w:p>
  </w:endnote>
  <w:endnote w:type="continuationSeparator" w:id="0">
    <w:p w14:paraId="0C3BB756" w14:textId="77777777" w:rsidR="0014456F" w:rsidRDefault="0014456F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42B8" w14:textId="77777777"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A205C0">
      <w:rPr>
        <w:noProof/>
        <w:lang w:val="en-US"/>
      </w:rPr>
      <w:t>4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A205C0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62B85" w14:textId="77777777" w:rsidR="0014456F" w:rsidRDefault="0014456F" w:rsidP="009E1230">
      <w:r>
        <w:separator/>
      </w:r>
    </w:p>
  </w:footnote>
  <w:footnote w:type="continuationSeparator" w:id="0">
    <w:p w14:paraId="1364989F" w14:textId="77777777" w:rsidR="0014456F" w:rsidRDefault="0014456F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AFAA3" w14:textId="2C728EFD" w:rsidR="008136BC" w:rsidRPr="00D54204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D54204">
      <w:t xml:space="preserve">Appendix </w:t>
    </w:r>
    <w:r w:rsidR="00D54204" w:rsidRPr="00D54204">
      <w:t>14</w:t>
    </w:r>
    <w:r w:rsidR="005D08CF" w:rsidRPr="00D54204">
      <w:t xml:space="preserve"> </w:t>
    </w:r>
    <w:r w:rsidR="00D54204" w:rsidRPr="00D54204">
      <w:t>–</w:t>
    </w:r>
    <w:r w:rsidR="005D08CF" w:rsidRPr="00D54204">
      <w:t xml:space="preserve"> </w:t>
    </w:r>
    <w:r w:rsidR="00D54204" w:rsidRPr="00D54204">
      <w:t>Runtime Configuration Management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24937" w14:textId="6B248708" w:rsidR="00A205C0" w:rsidRDefault="00A205C0" w:rsidP="0092754A">
    <w:pPr>
      <w:pStyle w:val="Header"/>
      <w:jc w:val="right"/>
      <w:rPr>
        <w:lang w:val="en-US"/>
      </w:rPr>
    </w:pPr>
    <w:r>
      <w:rPr>
        <w:lang w:val="en-US"/>
      </w:rPr>
      <w:t>ENAV15-8.27</w:t>
    </w:r>
  </w:p>
  <w:p w14:paraId="2D12C114" w14:textId="735D1E30" w:rsidR="0004410E" w:rsidRPr="0092754A" w:rsidRDefault="00A205C0" w:rsidP="0092754A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FA2D66">
      <w:rPr>
        <w:lang w:val="en-US"/>
      </w:rPr>
      <w:t>CSSA1-5</w:t>
    </w:r>
    <w:r w:rsidR="0092754A">
      <w:rPr>
        <w:lang w:val="en-US"/>
      </w:rPr>
      <w:t>.20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0A32CD5"/>
    <w:multiLevelType w:val="hybridMultilevel"/>
    <w:tmpl w:val="4D58773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276B7383"/>
    <w:multiLevelType w:val="hybridMultilevel"/>
    <w:tmpl w:val="70E09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80FA5"/>
    <w:multiLevelType w:val="hybridMultilevel"/>
    <w:tmpl w:val="E2D6B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2D066E5"/>
    <w:multiLevelType w:val="hybridMultilevel"/>
    <w:tmpl w:val="50E83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3">
    <w:nsid w:val="5D695144"/>
    <w:multiLevelType w:val="hybridMultilevel"/>
    <w:tmpl w:val="99365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4"/>
  </w:num>
  <w:num w:numId="5">
    <w:abstractNumId w:val="20"/>
  </w:num>
  <w:num w:numId="6">
    <w:abstractNumId w:val="25"/>
  </w:num>
  <w:num w:numId="7">
    <w:abstractNumId w:val="18"/>
  </w:num>
  <w:num w:numId="8">
    <w:abstractNumId w:val="24"/>
  </w:num>
  <w:num w:numId="9">
    <w:abstractNumId w:val="12"/>
  </w:num>
  <w:num w:numId="10">
    <w:abstractNumId w:val="27"/>
  </w:num>
  <w:num w:numId="11">
    <w:abstractNumId w:val="22"/>
  </w:num>
  <w:num w:numId="12">
    <w:abstractNumId w:val="8"/>
  </w:num>
  <w:num w:numId="13">
    <w:abstractNumId w:val="3"/>
  </w:num>
  <w:num w:numId="14">
    <w:abstractNumId w:val="13"/>
  </w:num>
  <w:num w:numId="15">
    <w:abstractNumId w:val="21"/>
  </w:num>
  <w:num w:numId="16">
    <w:abstractNumId w:val="11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26"/>
  </w:num>
  <w:num w:numId="29">
    <w:abstractNumId w:val="26"/>
  </w:num>
  <w:num w:numId="30">
    <w:abstractNumId w:val="26"/>
  </w:num>
  <w:num w:numId="31">
    <w:abstractNumId w:val="9"/>
  </w:num>
  <w:num w:numId="32">
    <w:abstractNumId w:val="16"/>
  </w:num>
  <w:num w:numId="33">
    <w:abstractNumId w:val="19"/>
  </w:num>
  <w:num w:numId="34">
    <w:abstractNumId w:val="23"/>
  </w:num>
  <w:num w:numId="3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4456F"/>
    <w:rsid w:val="00173976"/>
    <w:rsid w:val="00184986"/>
    <w:rsid w:val="001C3C29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E43E8"/>
    <w:rsid w:val="004F72F9"/>
    <w:rsid w:val="005207B2"/>
    <w:rsid w:val="00582569"/>
    <w:rsid w:val="005A4F85"/>
    <w:rsid w:val="005A79A1"/>
    <w:rsid w:val="005B2BD9"/>
    <w:rsid w:val="005C24F3"/>
    <w:rsid w:val="005D08CF"/>
    <w:rsid w:val="005F188D"/>
    <w:rsid w:val="006052C5"/>
    <w:rsid w:val="00631433"/>
    <w:rsid w:val="00675FFD"/>
    <w:rsid w:val="00681BC4"/>
    <w:rsid w:val="006854F0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57962"/>
    <w:rsid w:val="008931CC"/>
    <w:rsid w:val="008B3CBD"/>
    <w:rsid w:val="00921872"/>
    <w:rsid w:val="0092754A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7A94"/>
    <w:rsid w:val="009E1230"/>
    <w:rsid w:val="009F55FD"/>
    <w:rsid w:val="00A13CBA"/>
    <w:rsid w:val="00A205C0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45642"/>
    <w:rsid w:val="00B63B46"/>
    <w:rsid w:val="00B67FA6"/>
    <w:rsid w:val="00B70C4C"/>
    <w:rsid w:val="00B76755"/>
    <w:rsid w:val="00B91264"/>
    <w:rsid w:val="00C05D04"/>
    <w:rsid w:val="00C23159"/>
    <w:rsid w:val="00C528B9"/>
    <w:rsid w:val="00C531DA"/>
    <w:rsid w:val="00C8750E"/>
    <w:rsid w:val="00C97FD2"/>
    <w:rsid w:val="00CB4864"/>
    <w:rsid w:val="00CC0BF3"/>
    <w:rsid w:val="00CC4B2D"/>
    <w:rsid w:val="00CD7575"/>
    <w:rsid w:val="00D05833"/>
    <w:rsid w:val="00D128D4"/>
    <w:rsid w:val="00D2145F"/>
    <w:rsid w:val="00D30727"/>
    <w:rsid w:val="00D52150"/>
    <w:rsid w:val="00D54204"/>
    <w:rsid w:val="00D847AD"/>
    <w:rsid w:val="00DB585F"/>
    <w:rsid w:val="00DB6664"/>
    <w:rsid w:val="00DF19D5"/>
    <w:rsid w:val="00DF6EB4"/>
    <w:rsid w:val="00E006FD"/>
    <w:rsid w:val="00E0483F"/>
    <w:rsid w:val="00E1534B"/>
    <w:rsid w:val="00E22226"/>
    <w:rsid w:val="00E43798"/>
    <w:rsid w:val="00E50B08"/>
    <w:rsid w:val="00E711D8"/>
    <w:rsid w:val="00E73E4C"/>
    <w:rsid w:val="00E761EA"/>
    <w:rsid w:val="00EB22A4"/>
    <w:rsid w:val="00EB7B1A"/>
    <w:rsid w:val="00EC597E"/>
    <w:rsid w:val="00EE340C"/>
    <w:rsid w:val="00EE3BAA"/>
    <w:rsid w:val="00F21FCE"/>
    <w:rsid w:val="00F46430"/>
    <w:rsid w:val="00F53DB6"/>
    <w:rsid w:val="00F71E69"/>
    <w:rsid w:val="00F9544D"/>
    <w:rsid w:val="00FA2D66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325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16ABE-91FF-434B-928A-04590DD0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1710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subject/>
  <dc:creator>Mike Hadley (Home)</dc:creator>
  <cp:keywords/>
  <dc:description/>
  <cp:lastModifiedBy>Seamus Doyle</cp:lastModifiedBy>
  <cp:revision>3</cp:revision>
  <cp:lastPrinted>2008-12-16T06:04:00Z</cp:lastPrinted>
  <dcterms:created xsi:type="dcterms:W3CDTF">2014-09-04T09:01:00Z</dcterms:created>
  <dcterms:modified xsi:type="dcterms:W3CDTF">2014-09-22T09:17:00Z</dcterms:modified>
</cp:coreProperties>
</file>